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2">
      <w:pPr>
        <w:spacing w:line="360" w:lineRule="auto"/>
        <w:ind w:right="-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 Quan comença el període de preinscripció?</w:t>
      </w:r>
      <w:r w:rsidDel="00000000" w:rsidR="00000000" w:rsidRPr="00000000">
        <w:rPr>
          <w:rtl w:val="0"/>
        </w:rPr>
      </w:r>
    </w:p>
    <w:p w:rsidR="00000000" w:rsidDel="00000000" w:rsidP="00000000" w:rsidRDefault="00000000" w:rsidRPr="00000000" w14:paraId="00000003">
      <w:pPr>
        <w:ind w:right="-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Del 26 de maig a l'1 de juny s’obre el període de presentació de sol·licituds. Fins el 2 de juny es pot presentar la documentació acreditativa que justifica les prioritats de cada alumne o alumna. Podeu trobar tota la informació en aquest link del Departament d’Educació: </w:t>
      </w:r>
    </w:p>
    <w:p w:rsidR="00000000" w:rsidDel="00000000" w:rsidP="00000000" w:rsidRDefault="00000000" w:rsidRPr="00000000" w14:paraId="00000004">
      <w:pPr>
        <w:ind w:right="-1"/>
        <w:jc w:val="both"/>
        <w:rPr>
          <w:rFonts w:ascii="Arial" w:cs="Arial" w:eastAsia="Arial" w:hAnsi="Arial"/>
          <w:sz w:val="24"/>
          <w:szCs w:val="24"/>
          <w:vertAlign w:val="baseline"/>
        </w:rPr>
      </w:pPr>
      <w:hyperlink r:id="rId7">
        <w:r w:rsidDel="00000000" w:rsidR="00000000" w:rsidRPr="00000000">
          <w:rPr>
            <w:rFonts w:ascii="Arial" w:cs="Arial" w:eastAsia="Arial" w:hAnsi="Arial"/>
            <w:color w:val="0000ff"/>
            <w:sz w:val="24"/>
            <w:szCs w:val="24"/>
            <w:u w:val="single"/>
            <w:vertAlign w:val="baseline"/>
            <w:rtl w:val="0"/>
          </w:rPr>
          <w:t xml:space="preserve">https://preinscripcio.gencat.cat/ca/estudis/fp-grau-superior/inici/</w:t>
        </w:r>
      </w:hyperlink>
      <w:r w:rsidDel="00000000" w:rsidR="00000000" w:rsidRPr="00000000">
        <w:rPr>
          <w:rtl w:val="0"/>
        </w:rPr>
      </w:r>
    </w:p>
    <w:p w:rsidR="00000000" w:rsidDel="00000000" w:rsidP="00000000" w:rsidRDefault="00000000" w:rsidRPr="00000000" w14:paraId="00000005">
      <w:pPr>
        <w:ind w:right="-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ind w:right="-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 S’accepten sol·licituds de preinscripció fora de termini? </w:t>
      </w:r>
      <w:r w:rsidDel="00000000" w:rsidR="00000000" w:rsidRPr="00000000">
        <w:rPr>
          <w:rtl w:val="0"/>
        </w:rPr>
      </w:r>
    </w:p>
    <w:p w:rsidR="00000000" w:rsidDel="00000000" w:rsidP="00000000" w:rsidRDefault="00000000" w:rsidRPr="00000000" w14:paraId="00000007">
      <w:pPr>
        <w:ind w:right="-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 És molt important respectar les dates de presentació perquè no s’accepten sol·licituds fora de termini. Cal presentar la sol·licitud i adjuntar-hi la documentació d’identificació o de criteris que correspongui.  </w:t>
      </w:r>
    </w:p>
    <w:p w:rsidR="00000000" w:rsidDel="00000000" w:rsidP="00000000" w:rsidRDefault="00000000" w:rsidRPr="00000000" w14:paraId="00000008">
      <w:pPr>
        <w:ind w:right="-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ind w:right="-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4. Es reserven places per alumnes amb necessitats educatives específiques?</w:t>
      </w:r>
      <w:r w:rsidDel="00000000" w:rsidR="00000000" w:rsidRPr="00000000">
        <w:rPr>
          <w:rtl w:val="0"/>
        </w:rPr>
      </w:r>
    </w:p>
    <w:p w:rsidR="00000000" w:rsidDel="00000000" w:rsidP="00000000" w:rsidRDefault="00000000" w:rsidRPr="00000000" w14:paraId="0000000A">
      <w:pPr>
        <w:ind w:right="-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Sí, es reserven dues places amb caràcter general de cada grup per a alumnes amb necessitats educatives específiques.</w:t>
      </w:r>
    </w:p>
    <w:p w:rsidR="00000000" w:rsidDel="00000000" w:rsidP="00000000" w:rsidRDefault="00000000" w:rsidRPr="00000000" w14:paraId="0000000B">
      <w:pPr>
        <w:ind w:right="-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ind w:right="-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Com s’ha de presentar la sol·licitud? </w:t>
      </w:r>
      <w:r w:rsidDel="00000000" w:rsidR="00000000" w:rsidRPr="00000000">
        <w:rPr>
          <w:rtl w:val="0"/>
        </w:rPr>
      </w:r>
    </w:p>
    <w:p w:rsidR="00000000" w:rsidDel="00000000" w:rsidP="00000000" w:rsidRDefault="00000000" w:rsidRPr="00000000" w14:paraId="0000000D">
      <w:pPr>
        <w:ind w:right="-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 presentació de sol·licituds es fa electrònicament, amb el formulari que hi ha disponible al web del Departament d'Educació. No s'accepten sol·licituds que es presentin en paper. </w:t>
      </w:r>
    </w:p>
    <w:p w:rsidR="00000000" w:rsidDel="00000000" w:rsidP="00000000" w:rsidRDefault="00000000" w:rsidRPr="00000000" w14:paraId="0000000E">
      <w:pPr>
        <w:ind w:right="-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ind w:right="-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6. Un cop presentada la sol·licitud, es poden modificar les dades? </w:t>
      </w:r>
      <w:r w:rsidDel="00000000" w:rsidR="00000000" w:rsidRPr="00000000">
        <w:rPr>
          <w:rtl w:val="0"/>
        </w:rPr>
      </w:r>
    </w:p>
    <w:p w:rsidR="00000000" w:rsidDel="00000000" w:rsidP="00000000" w:rsidRDefault="00000000" w:rsidRPr="00000000" w14:paraId="00000010">
      <w:pPr>
        <w:ind w:right="-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NOMÉS les dades relatives als criteris de prioritat al·legats, així com els ensenyaments i centres sol·licitats, si cal, i NOMÉS durant el termini de presentació de sol·licituds. Les dades que es validen són les de la darrera modificació que s'ha notificat al centre.</w:t>
      </w:r>
    </w:p>
    <w:p w:rsidR="00000000" w:rsidDel="00000000" w:rsidP="00000000" w:rsidRDefault="00000000" w:rsidRPr="00000000" w14:paraId="00000011">
      <w:pPr>
        <w:ind w:right="-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2">
      <w:pPr>
        <w:ind w:right="-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7. Podem omplir més d’una preinscripció?</w:t>
      </w:r>
      <w:r w:rsidDel="00000000" w:rsidR="00000000" w:rsidRPr="00000000">
        <w:rPr>
          <w:rtl w:val="0"/>
        </w:rPr>
      </w:r>
    </w:p>
    <w:p w:rsidR="00000000" w:rsidDel="00000000" w:rsidP="00000000" w:rsidRDefault="00000000" w:rsidRPr="00000000" w14:paraId="00000013">
      <w:pPr>
        <w:ind w:right="-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 La presentació de més d'una sol·licitud per accedir a ensenyaments inclosos en un mateix procediment de preinscripció comporta la invalidació dels drets de prioritat que puguin correspondre.</w:t>
      </w:r>
    </w:p>
    <w:p w:rsidR="00000000" w:rsidDel="00000000" w:rsidP="00000000" w:rsidRDefault="00000000" w:rsidRPr="00000000" w14:paraId="00000014">
      <w:pPr>
        <w:ind w:right="-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ind w:right="-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8. Com s’ordenen les preinscripcions?</w:t>
      </w:r>
      <w:r w:rsidDel="00000000" w:rsidR="00000000" w:rsidRPr="00000000">
        <w:rPr>
          <w:rtl w:val="0"/>
        </w:rPr>
      </w:r>
    </w:p>
    <w:p w:rsidR="00000000" w:rsidDel="00000000" w:rsidP="00000000" w:rsidRDefault="00000000" w:rsidRPr="00000000" w14:paraId="00000016">
      <w:pPr>
        <w:ind w:right="-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S’ordenen: </w:t>
      </w:r>
    </w:p>
    <w:p w:rsidR="00000000" w:rsidDel="00000000" w:rsidP="00000000" w:rsidRDefault="00000000" w:rsidRPr="00000000" w14:paraId="00000017">
      <w:pPr>
        <w:numPr>
          <w:ilvl w:val="0"/>
          <w:numId w:val="4"/>
        </w:numPr>
        <w:ind w:left="720" w:right="-1"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Segons la via d’accés</w:t>
      </w:r>
    </w:p>
    <w:p w:rsidR="00000000" w:rsidDel="00000000" w:rsidP="00000000" w:rsidRDefault="00000000" w:rsidRPr="00000000" w14:paraId="00000018">
      <w:pPr>
        <w:numPr>
          <w:ilvl w:val="0"/>
          <w:numId w:val="4"/>
        </w:numPr>
        <w:ind w:left="720" w:right="-1"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Segons la prioritat dins de cada via d’accés</w:t>
      </w:r>
    </w:p>
    <w:p w:rsidR="00000000" w:rsidDel="00000000" w:rsidP="00000000" w:rsidRDefault="00000000" w:rsidRPr="00000000" w14:paraId="00000019">
      <w:pPr>
        <w:numPr>
          <w:ilvl w:val="0"/>
          <w:numId w:val="4"/>
        </w:numPr>
        <w:ind w:left="720" w:right="-1"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Per la qualificació de l’ensenyament que permet l’accés o bé la qualificació de la prova d’accés</w:t>
      </w:r>
    </w:p>
    <w:p w:rsidR="00000000" w:rsidDel="00000000" w:rsidP="00000000" w:rsidRDefault="00000000" w:rsidRPr="00000000" w14:paraId="0000001A">
      <w:pPr>
        <w:ind w:right="-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Si persisteix l’empat es té en compte l’ordenació de les sol·licituds per sorteig públic. </w:t>
      </w:r>
    </w:p>
    <w:p w:rsidR="00000000" w:rsidDel="00000000" w:rsidP="00000000" w:rsidRDefault="00000000" w:rsidRPr="00000000" w14:paraId="0000001B">
      <w:pPr>
        <w:ind w:right="-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9. Quantes preinscripcions hi van  haver el curs passat?</w:t>
      </w:r>
      <w:r w:rsidDel="00000000" w:rsidR="00000000" w:rsidRPr="00000000">
        <w:rPr>
          <w:rtl w:val="0"/>
        </w:rPr>
      </w:r>
    </w:p>
    <w:p w:rsidR="00000000" w:rsidDel="00000000" w:rsidP="00000000" w:rsidRDefault="00000000" w:rsidRPr="00000000" w14:paraId="0000001D">
      <w:pPr>
        <w:jc w:val="both"/>
        <w:rPr>
          <w:rFonts w:ascii="Arial" w:cs="Arial" w:eastAsia="Arial" w:hAnsi="Arial"/>
          <w:sz w:val="24"/>
          <w:szCs w:val="24"/>
          <w:highlight w:val="white"/>
          <w:vertAlign w:val="baseline"/>
        </w:rPr>
      </w:pPr>
      <w:r w:rsidDel="00000000" w:rsidR="00000000" w:rsidRPr="00000000">
        <w:rPr>
          <w:rFonts w:ascii="Arial" w:cs="Arial" w:eastAsia="Arial" w:hAnsi="Arial"/>
          <w:sz w:val="24"/>
          <w:szCs w:val="24"/>
          <w:highlight w:val="white"/>
          <w:vertAlign w:val="baseline"/>
          <w:rtl w:val="0"/>
        </w:rPr>
        <w:t xml:space="preserve">El curs 2022-2023 van haver 2</w:t>
      </w:r>
      <w:r w:rsidDel="00000000" w:rsidR="00000000" w:rsidRPr="00000000">
        <w:rPr>
          <w:rFonts w:ascii="Arial" w:cs="Arial" w:eastAsia="Arial" w:hAnsi="Arial"/>
          <w:sz w:val="24"/>
          <w:szCs w:val="24"/>
          <w:highlight w:val="white"/>
          <w:rtl w:val="0"/>
        </w:rPr>
        <w:t xml:space="preserve">42 (228 de 1r curs i 14 de 2n curs).</w:t>
      </w:r>
      <w:r w:rsidDel="00000000" w:rsidR="00000000" w:rsidRPr="00000000">
        <w:rPr>
          <w:rtl w:val="0"/>
        </w:rPr>
      </w:r>
    </w:p>
    <w:p w:rsidR="00000000" w:rsidDel="00000000" w:rsidP="00000000" w:rsidRDefault="00000000" w:rsidRPr="00000000" w14:paraId="0000001E">
      <w:pPr>
        <w:ind w:right="-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ind w:right="-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 Com s’assignen les places?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sol·licituds de preinscripció a la formació professional de grau superior s'ordenen segons les diferents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vies d'accés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 cicles, dins de cada via d'accés s'ordenen segons les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prioritats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dins de cada prioritat, segons 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criteri de prioritat de la qualificació mitjana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dels estudis, del curs o de la prova d'accés de cada alumne. A banda, a cada sol·licitud s'atorga un número de forma aleatòria. Aquest número s'utilitzarà en cas d'empat: s'obté un número obtingut per sorteig, i a partir d'aquest s'ordenen les sol·licituds empatades.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 ha 3 vies per accedir a les places a cicles formatius:</w:t>
      </w:r>
    </w:p>
    <w:p w:rsidR="00000000" w:rsidDel="00000000" w:rsidP="00000000" w:rsidRDefault="00000000" w:rsidRPr="00000000" w14:paraId="00000023">
      <w:pPr>
        <w:numPr>
          <w:ilvl w:val="0"/>
          <w:numId w:val="1"/>
        </w:numPr>
        <w:ind w:left="7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60% de les places per als alumnes que hi accedeixen per la via del batxillerat o estudis equivalents. Tenen prioritat els alumnes que han cursat les modalitats de batxillerat prioritàries per al cicle corresponent. Un cop aplicada la prioritat, les sol·licituds s'ordenen segons la qualificació mitjana dels estudis.</w:t>
      </w:r>
    </w:p>
    <w:p w:rsidR="00000000" w:rsidDel="00000000" w:rsidP="00000000" w:rsidRDefault="00000000" w:rsidRPr="00000000" w14:paraId="00000024">
      <w:pPr>
        <w:numPr>
          <w:ilvl w:val="0"/>
          <w:numId w:val="2"/>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20% de les places per als alumnes que acrediten un títol de tècnic/a de formació professional o d'arts plàstiques i disseny amb les prioritats següents: 1r els alumnes amb títol de tècnic/a de grau mitjà de formació professional o d'arts plàstiques i disseny que procedeixen d'una família professional afí, 2n els alumnes amb títol de tècnic/a de grau mitjà de formació professional o d'arts plàstiques i  disseny que procedeixen d'una família professional no afí. Un cop aplicada la prioritat, les sol·licituds s'ordenen d'acord amb la qualificació obtinguda al cicle de grau mitjà de formació professional o d'arts plàstiques i disseny.</w:t>
      </w:r>
    </w:p>
    <w:p w:rsidR="00000000" w:rsidDel="00000000" w:rsidP="00000000" w:rsidRDefault="00000000" w:rsidRPr="00000000" w14:paraId="00000025">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20% per als alumnes que accedeixen per la via de la prova d'accés, o que tenen l'exempció total d'aquesta prova, o que tenen altres titulacions que en permeten l'accés. Les sol·licituds s'ordenen segons la qualificació de la prova o la qualificació mitjana de l'estudi al·legat.</w:t>
      </w:r>
    </w:p>
    <w:p w:rsidR="00000000" w:rsidDel="00000000" w:rsidP="00000000" w:rsidRDefault="00000000" w:rsidRPr="00000000" w14:paraId="00000026">
      <w:pPr>
        <w:ind w:right="-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 tots els casos, per desfer situacions d'empat, s'aplica el resultat del sorteig.</w:t>
        <w:br w:type="textWrapping"/>
        <w:t xml:space="preserve">Si per alguna de les vies d'accés no s'ocupen totes les places reservades corresponents, les vacants es reparteixen a la resta de les vies de manera proporcional.</w:t>
      </w:r>
    </w:p>
    <w:p w:rsidR="00000000" w:rsidDel="00000000" w:rsidP="00000000" w:rsidRDefault="00000000" w:rsidRPr="00000000" w14:paraId="00000027">
      <w:pPr>
        <w:ind w:right="-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ind w:right="-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11. Quines va ser les qualificacions del curs passat per accedir a l’institut Moisès Broggi? </w:t>
      </w:r>
      <w:r w:rsidDel="00000000" w:rsidR="00000000" w:rsidRPr="00000000">
        <w:rPr>
          <w:rtl w:val="0"/>
        </w:rPr>
      </w:r>
    </w:p>
    <w:p w:rsidR="00000000" w:rsidDel="00000000" w:rsidP="00000000" w:rsidRDefault="00000000" w:rsidRPr="00000000" w14:paraId="00000029">
      <w:pPr>
        <w:ind w:right="-1"/>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VIA 1</w:t>
      </w:r>
      <w:r w:rsidDel="00000000" w:rsidR="00000000" w:rsidRPr="00000000">
        <w:rPr>
          <w:rFonts w:ascii="Arial" w:cs="Arial" w:eastAsia="Arial" w:hAnsi="Arial"/>
          <w:sz w:val="24"/>
          <w:szCs w:val="24"/>
          <w:highlight w:val="white"/>
          <w:rtl w:val="0"/>
        </w:rPr>
        <w:t xml:space="preserve"> (batxillerat, amb prioritat pels batxillerat científic-tecnològics): nota més alta 8,36/ nota més baixa 6,44</w:t>
      </w:r>
    </w:p>
    <w:p w:rsidR="00000000" w:rsidDel="00000000" w:rsidP="00000000" w:rsidRDefault="00000000" w:rsidRPr="00000000" w14:paraId="0000002A">
      <w:pPr>
        <w:ind w:right="-1"/>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VIA 2 </w:t>
      </w:r>
      <w:r w:rsidDel="00000000" w:rsidR="00000000" w:rsidRPr="00000000">
        <w:rPr>
          <w:rFonts w:ascii="Arial" w:cs="Arial" w:eastAsia="Arial" w:hAnsi="Arial"/>
          <w:sz w:val="24"/>
          <w:szCs w:val="24"/>
          <w:highlight w:val="white"/>
          <w:rtl w:val="0"/>
        </w:rPr>
        <w:t xml:space="preserve">(CFGM, amb prioritat pels de famílies professionals de sanitat): nota més alta 9,73 / nota més baixa: 6,46</w:t>
      </w:r>
    </w:p>
    <w:p w:rsidR="00000000" w:rsidDel="00000000" w:rsidP="00000000" w:rsidRDefault="00000000" w:rsidRPr="00000000" w14:paraId="0000002B">
      <w:pPr>
        <w:ind w:right="-1"/>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VIA 3</w:t>
      </w:r>
      <w:r w:rsidDel="00000000" w:rsidR="00000000" w:rsidRPr="00000000">
        <w:rPr>
          <w:rFonts w:ascii="Arial" w:cs="Arial" w:eastAsia="Arial" w:hAnsi="Arial"/>
          <w:sz w:val="24"/>
          <w:szCs w:val="24"/>
          <w:highlight w:val="white"/>
          <w:rtl w:val="0"/>
        </w:rPr>
        <w:t xml:space="preserve"> (altres vies): nota més alta: 9,61/nota més baixa: 7,56</w:t>
      </w:r>
      <w:r w:rsidDel="00000000" w:rsidR="00000000" w:rsidRPr="00000000">
        <w:rPr>
          <w:rtl w:val="0"/>
        </w:rPr>
      </w:r>
    </w:p>
    <w:p w:rsidR="00000000" w:rsidDel="00000000" w:rsidP="00000000" w:rsidRDefault="00000000" w:rsidRPr="00000000" w14:paraId="0000002C">
      <w:pPr>
        <w:ind w:right="-1"/>
        <w:jc w:val="both"/>
        <w:rPr>
          <w:rFonts w:ascii="Arial" w:cs="Arial" w:eastAsia="Arial" w:hAnsi="Arial"/>
          <w:color w:val="ff0000"/>
          <w:sz w:val="16"/>
          <w:szCs w:val="16"/>
          <w:vertAlign w:val="baseline"/>
        </w:rPr>
      </w:pPr>
      <w:r w:rsidDel="00000000" w:rsidR="00000000" w:rsidRPr="00000000">
        <w:rPr>
          <w:rtl w:val="0"/>
        </w:rPr>
      </w:r>
    </w:p>
    <w:p w:rsidR="00000000" w:rsidDel="00000000" w:rsidP="00000000" w:rsidRDefault="00000000" w:rsidRPr="00000000" w14:paraId="0000002D">
      <w:pPr>
        <w:ind w:right="-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12. Quants grups d’Imatge per al Diagnòstic i Medicina Nuclear hi ha a l’Institut Moisès Broggi? </w:t>
      </w:r>
      <w:r w:rsidDel="00000000" w:rsidR="00000000" w:rsidRPr="00000000">
        <w:rPr>
          <w:rtl w:val="0"/>
        </w:rPr>
      </w:r>
    </w:p>
    <w:p w:rsidR="00000000" w:rsidDel="00000000" w:rsidP="00000000" w:rsidRDefault="00000000" w:rsidRPr="00000000" w14:paraId="0000002E">
      <w:pPr>
        <w:ind w:right="-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Un grup de tarda, 1r curs i 2n curs.   </w:t>
      </w:r>
    </w:p>
    <w:p w:rsidR="00000000" w:rsidDel="00000000" w:rsidP="00000000" w:rsidRDefault="00000000" w:rsidRPr="00000000" w14:paraId="0000002F">
      <w:pPr>
        <w:ind w:right="-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ind w:right="-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13. Quina és la ratio alumnat/classe?</w:t>
      </w:r>
      <w:r w:rsidDel="00000000" w:rsidR="00000000" w:rsidRPr="00000000">
        <w:rPr>
          <w:rtl w:val="0"/>
        </w:rPr>
      </w:r>
    </w:p>
    <w:p w:rsidR="00000000" w:rsidDel="00000000" w:rsidP="00000000" w:rsidRDefault="00000000" w:rsidRPr="00000000" w14:paraId="00000031">
      <w:pPr>
        <w:ind w:right="-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Aquest curs ha estat de 33 alumnes/classe.</w:t>
      </w:r>
    </w:p>
    <w:p w:rsidR="00000000" w:rsidDel="00000000" w:rsidP="00000000" w:rsidRDefault="00000000" w:rsidRPr="00000000" w14:paraId="00000032">
      <w:pPr>
        <w:ind w:right="-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ind w:right="-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14.  Amb quines empreses col·laboreu per a realitzar les pràctiques?</w:t>
      </w:r>
      <w:r w:rsidDel="00000000" w:rsidR="00000000" w:rsidRPr="00000000">
        <w:rPr>
          <w:rtl w:val="0"/>
        </w:rPr>
      </w:r>
    </w:p>
    <w:p w:rsidR="00000000" w:rsidDel="00000000" w:rsidP="00000000" w:rsidRDefault="00000000" w:rsidRPr="00000000" w14:paraId="00000034">
      <w:pPr>
        <w:ind w:right="-1"/>
        <w:jc w:val="both"/>
        <w:rPr>
          <w:rFonts w:ascii="Arial" w:cs="Arial" w:eastAsia="Arial" w:hAnsi="Arial"/>
          <w:b w:val="0"/>
          <w:sz w:val="10"/>
          <w:szCs w:val="10"/>
          <w:vertAlign w:val="baseline"/>
        </w:rPr>
      </w:pPr>
      <w:r w:rsidDel="00000000" w:rsidR="00000000" w:rsidRPr="00000000">
        <w:rPr>
          <w:rFonts w:ascii="Arial" w:cs="Arial" w:eastAsia="Arial" w:hAnsi="Arial"/>
          <w:sz w:val="24"/>
          <w:szCs w:val="24"/>
          <w:vertAlign w:val="baseline"/>
          <w:rtl w:val="0"/>
        </w:rPr>
        <w:t xml:space="preserve">Empreses de l’àmbit sanitari com ara Hospital de Sant Pau, Hospital de la Vall d’Hebron, Hospital de Bellvitge, Clínica Delfos, Clínica Corachan, Hospital Germans Trias i Pujo</w:t>
      </w:r>
      <w:r w:rsidDel="00000000" w:rsidR="00000000" w:rsidRPr="00000000">
        <w:rPr>
          <w:rFonts w:ascii="Arial" w:cs="Arial" w:eastAsia="Arial" w:hAnsi="Arial"/>
          <w:sz w:val="24"/>
          <w:szCs w:val="24"/>
          <w:rtl w:val="0"/>
        </w:rPr>
        <w:t xml:space="preserve">l, Hospital 2 de Maig, Hospital General de l’Hospitalet, Hospital Moisès Broggi, Hospital de Badalona, CAP Manso, CAP Pare Claret,</w:t>
      </w: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sectPr>
      <w:headerReference r:id="rId8" w:type="default"/>
      <w:footerReference r:id="rId9" w:type="default"/>
      <w:pgSz w:h="16838" w:w="11906" w:orient="portrait"/>
      <w:pgMar w:bottom="249" w:top="567" w:left="1134" w:right="1274" w:header="14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-196849</wp:posOffset>
          </wp:positionH>
          <wp:positionV relativeFrom="paragraph">
            <wp:posOffset>145415</wp:posOffset>
          </wp:positionV>
          <wp:extent cx="1143000" cy="457835"/>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43000" cy="457835"/>
                  </a:xfrm>
                  <a:prstGeom prst="rect"/>
                  <a:ln/>
                </pic:spPr>
              </pic:pic>
            </a:graphicData>
          </a:graphic>
        </wp:anchor>
      </w:drawing>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6"/>
        <w:szCs w:val="16"/>
        <w:u w:val="none"/>
        <w:shd w:fill="auto" w:val="clear"/>
        <w:vertAlign w:val="baseline"/>
        <w:rtl w:val="0"/>
      </w:rPr>
      <w:t xml:space="preserve">                                           Sant Quintí, 32-50 08041 Barcelona    Telèfon 93 436 89 03     FAX 93 456 32 85     www.institutbroggi.org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ind w:hanging="28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36">
    <w:pPr>
      <w:ind w:hanging="284"/>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2075497</wp:posOffset>
              </wp:positionH>
              <wp:positionV relativeFrom="paragraph">
                <wp:posOffset>76200</wp:posOffset>
              </wp:positionV>
              <wp:extent cx="3991928" cy="809625"/>
              <wp:effectExtent b="0" l="0" r="0" t="0"/>
              <wp:wrapNone/>
              <wp:docPr id="1" name=""/>
              <a:graphic>
                <a:graphicData uri="http://schemas.microsoft.com/office/word/2010/wordprocessingShape">
                  <wps:wsp>
                    <wps:cNvSpPr/>
                    <wps:cNvPr id="2" name="Shape 2"/>
                    <wps:spPr>
                      <a:xfrm>
                        <a:off x="3060000" y="3379950"/>
                        <a:ext cx="4572000" cy="800100"/>
                      </a:xfrm>
                      <a:prstGeom prst="rect">
                        <a:avLst/>
                      </a:prstGeom>
                      <a:solidFill>
                        <a:srgbClr val="FFFFFF"/>
                      </a:solidFill>
                      <a:ln cap="flat" cmpd="sng" w="12700">
                        <a:solidFill>
                          <a:srgbClr val="80808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808080"/>
                              <w:sz w:val="28"/>
                              <w:vertAlign w:val="baseline"/>
                            </w:rPr>
                            <w:t xml:space="preserve">PREGUNTES FREQÜENTS CFGS</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Arial" w:cs="Arial" w:eastAsia="Arial" w:hAnsi="Arial"/>
                              <w:b w:val="0"/>
                              <w:i w:val="0"/>
                              <w:smallCaps w:val="0"/>
                              <w:strike w:val="0"/>
                              <w:color w:val="808080"/>
                              <w:sz w:val="28"/>
                              <w:vertAlign w:val="baseline"/>
                            </w:rPr>
                          </w:r>
                          <w:r w:rsidDel="00000000" w:rsidR="00000000" w:rsidRPr="00000000">
                            <w:rPr>
                              <w:rFonts w:ascii="Arial" w:cs="Arial" w:eastAsia="Arial" w:hAnsi="Arial"/>
                              <w:b w:val="1"/>
                              <w:i w:val="0"/>
                              <w:smallCaps w:val="0"/>
                              <w:strike w:val="0"/>
                              <w:color w:val="808080"/>
                              <w:sz w:val="24"/>
                              <w:vertAlign w:val="baseline"/>
                            </w:rPr>
                            <w:t xml:space="preserve">Tècnic Superior Imatge per al Diagnòstic i Medicina Nuclear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08080"/>
                              <w:sz w:val="24"/>
                              <w:vertAlign w:val="baseline"/>
                            </w:rPr>
                          </w:r>
                          <w:r w:rsidDel="00000000" w:rsidR="00000000" w:rsidRPr="00000000">
                            <w:rPr>
                              <w:rFonts w:ascii="Arial" w:cs="Arial" w:eastAsia="Arial" w:hAnsi="Arial"/>
                              <w:b w:val="1"/>
                              <w:i w:val="0"/>
                              <w:smallCaps w:val="0"/>
                              <w:strike w:val="0"/>
                              <w:color w:val="808080"/>
                              <w:sz w:val="28"/>
                              <w:vertAlign w:val="baseline"/>
                            </w:rPr>
                            <w:t xml:space="preserve"> CURS ESCOLAR 2023-2024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80808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2075497</wp:posOffset>
              </wp:positionH>
              <wp:positionV relativeFrom="paragraph">
                <wp:posOffset>76200</wp:posOffset>
              </wp:positionV>
              <wp:extent cx="3991928" cy="80962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991928" cy="8096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-31749</wp:posOffset>
          </wp:positionH>
          <wp:positionV relativeFrom="paragraph">
            <wp:posOffset>93345</wp:posOffset>
          </wp:positionV>
          <wp:extent cx="1763395" cy="810260"/>
          <wp:effectExtent b="0" l="0" r="0" t="0"/>
          <wp:wrapNone/>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763395" cy="810260"/>
                  </a:xfrm>
                  <a:prstGeom prst="rect"/>
                  <a:ln/>
                </pic:spPr>
              </pic:pic>
            </a:graphicData>
          </a:graphic>
        </wp:anchor>
      </w:drawing>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864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864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864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864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864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864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ca-ES"/>
    </w:rPr>
  </w:style>
  <w:style w:type="character" w:styleId="Lletraperdefectedelparàgraf">
    <w:name w:val="Lletra per defecte del paràgraf"/>
    <w:next w:val="Lletraperdefectedelparàgraf"/>
    <w:autoRedefine w:val="0"/>
    <w:hidden w:val="0"/>
    <w:qFormat w:val="0"/>
    <w:rPr>
      <w:w w:val="100"/>
      <w:position w:val="-1"/>
      <w:effect w:val="none"/>
      <w:vertAlign w:val="baseline"/>
      <w:cs w:val="0"/>
      <w:em w:val="none"/>
      <w:lang/>
    </w:rPr>
  </w:style>
  <w:style w:type="table" w:styleId="Taulanormal">
    <w:name w:val="Taula normal"/>
    <w:next w:val="Tau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ulanormal"/>
      <w:jc w:val="left"/>
      <w:tblInd w:w="0.0" w:type="dxa"/>
      <w:tblCellMar>
        <w:top w:w="0.0" w:type="dxa"/>
        <w:left w:w="108.0" w:type="dxa"/>
        <w:bottom w:w="0.0" w:type="dxa"/>
        <w:right w:w="108.0" w:type="dxa"/>
      </w:tblCellMar>
    </w:tblPr>
  </w:style>
  <w:style w:type="numbering" w:styleId="Sensellista">
    <w:name w:val="Sense llista"/>
    <w:next w:val="Sensellista"/>
    <w:autoRedefine w:val="0"/>
    <w:hidden w:val="0"/>
    <w:qFormat w:val="0"/>
    <w:pPr>
      <w:suppressAutoHyphens w:val="1"/>
      <w:spacing w:line="1" w:lineRule="atLeast"/>
      <w:ind w:leftChars="-1" w:rightChars="0" w:firstLineChars="-1"/>
      <w:textDirection w:val="btLr"/>
      <w:textAlignment w:val="top"/>
      <w:outlineLvl w:val="0"/>
    </w:pPr>
  </w:style>
  <w:style w:type="paragraph" w:styleId="Capçalera">
    <w:name w:val="Capçalera"/>
    <w:basedOn w:val="Normal"/>
    <w:next w:val="Capçaler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ca-ES"/>
    </w:rPr>
  </w:style>
  <w:style w:type="paragraph" w:styleId="Peu">
    <w:name w:val="Peu"/>
    <w:basedOn w:val="Normal"/>
    <w:next w:val="Peu"/>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ca-ES"/>
    </w:rPr>
  </w:style>
  <w:style w:type="paragraph" w:styleId="Textdeglobus">
    <w:name w:val="Text de globus"/>
    <w:basedOn w:val="Normal"/>
    <w:next w:val="Textdeglobu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ca-ES"/>
    </w:rPr>
  </w:style>
  <w:style w:type="table" w:styleId="Taulaambquadrícula">
    <w:name w:val="Taula amb quadrícula"/>
    <w:basedOn w:val="Taulanormal"/>
    <w:next w:val="Taulaambq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ulaambq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llaç">
    <w:name w:val="Enllaç"/>
    <w:next w:val="Enllaç"/>
    <w:autoRedefine w:val="0"/>
    <w:hidden w:val="0"/>
    <w:qFormat w:val="0"/>
    <w:rPr>
      <w:color w:val="0000ff"/>
      <w:w w:val="100"/>
      <w:position w:val="-1"/>
      <w:u w:val="single"/>
      <w:effect w:val="none"/>
      <w:vertAlign w:val="baseline"/>
      <w:cs w:val="0"/>
      <w:em w:val="none"/>
      <w:lang/>
    </w:rPr>
  </w:style>
  <w:style w:type="character" w:styleId="Menciósenseresoldre">
    <w:name w:val="Menció sense resoldre"/>
    <w:next w:val="Menciósenseresoldre"/>
    <w:autoRedefine w:val="0"/>
    <w:hidden w:val="0"/>
    <w:qFormat w:val="1"/>
    <w:rPr>
      <w:color w:val="605e5c"/>
      <w:w w:val="100"/>
      <w:position w:val="-1"/>
      <w:effect w:val="none"/>
      <w:shd w:color="auto" w:fill="e1dfdd" w:val="clear"/>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a-ES" w:val="ca-ES"/>
    </w:rPr>
  </w:style>
  <w:style w:type="character" w:styleId="Textennegreta">
    <w:name w:val="Text en negreta"/>
    <w:next w:val="Textennegreta"/>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einscripcio.gencat.cat/ca/estudis/fp-grau-superior/inici/"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CH5rtW95BfEEQKjc4H9Oy/QS6w==">AMUW2mWLUp16Lr0N8oDkHJfaRRqbC/4sxl7BvmWBcglPcf1w36mVcXmjOvxHyF8O7E8Mb/vV/X5+WyHZ+ObvDqO89pScU3LQpqDBU8Dw83FbYzGoW6ZYauY=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2020-04-26T11:40:00Z</dcterms:created>
  <dc:creator>SANT JOSEP DE CALASSANY</dc:creator>
</cp:coreProperties>
</file>

<file path=docProps/custom.xml><?xml version="1.0" encoding="utf-8"?>
<Properties xmlns="http://schemas.openxmlformats.org/officeDocument/2006/custom-properties" xmlns:vt="http://schemas.openxmlformats.org/officeDocument/2006/docPropsVTypes"/>
</file>